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6B" w:rsidRDefault="00F3146B" w:rsidP="00F3146B">
      <w:pPr>
        <w:widowControl w:val="0"/>
        <w:jc w:val="right"/>
        <w:rPr>
          <w:sz w:val="28"/>
          <w:szCs w:val="28"/>
        </w:rPr>
      </w:pPr>
    </w:p>
    <w:p w:rsidR="00F3146B" w:rsidRDefault="00F3146B" w:rsidP="00F314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3146B" w:rsidRDefault="00F3146B" w:rsidP="00F3146B">
      <w:pPr>
        <w:widowControl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Порядку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2745" w:rsidRPr="00CC2745" w:rsidRDefault="00CC2745" w:rsidP="00CC2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муниципального образования Юрьев-Польский район «Об утверждении </w:t>
      </w:r>
      <w:r w:rsidR="004801AF">
        <w:rPr>
          <w:rFonts w:ascii="Times New Roman" w:hAnsi="Times New Roman" w:cs="Times New Roman"/>
          <w:sz w:val="28"/>
          <w:szCs w:val="28"/>
        </w:rPr>
        <w:t>порядка заключения договоров на размещение нестационарных торговых объектов на территории муниципального образования город Юрьев-Польский без предоставления земельного участка»</w:t>
      </w:r>
      <w:r w:rsidRPr="00CC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745" w:rsidRPr="00CC2745" w:rsidRDefault="00DA528D" w:rsidP="00CC2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83036" wp14:editId="171E58EB">
                <wp:simplePos x="0" y="0"/>
                <wp:positionH relativeFrom="column">
                  <wp:posOffset>-3810</wp:posOffset>
                </wp:positionH>
                <wp:positionV relativeFrom="paragraph">
                  <wp:posOffset>193040</wp:posOffset>
                </wp:positionV>
                <wp:extent cx="5962650" cy="635"/>
                <wp:effectExtent l="9525" t="10160" r="9525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E18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.3pt;margin-top:15.2pt;width:46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uT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"/>
            </w:pict>
          </mc:Fallback>
        </mc:AlternateContent>
      </w:r>
    </w:p>
    <w:p w:rsidR="00F3146B" w:rsidRPr="00CC2745" w:rsidRDefault="00197AA4" w:rsidP="00F31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745">
        <w:rPr>
          <w:rFonts w:ascii="Times New Roman" w:hAnsi="Times New Roman" w:cs="Times New Roman"/>
          <w:sz w:val="24"/>
          <w:szCs w:val="24"/>
        </w:rPr>
        <w:t xml:space="preserve"> </w:t>
      </w:r>
      <w:r w:rsidR="00F3146B" w:rsidRPr="00CC2745">
        <w:rPr>
          <w:rFonts w:ascii="Times New Roman" w:hAnsi="Times New Roman" w:cs="Times New Roman"/>
          <w:sz w:val="24"/>
          <w:szCs w:val="24"/>
        </w:rPr>
        <w:t>(наименование проекта НПА)</w:t>
      </w:r>
    </w:p>
    <w:p w:rsidR="00197AA4" w:rsidRDefault="00197AA4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45" w:rsidRDefault="00F3146B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C2745">
        <w:rPr>
          <w:rFonts w:ascii="Times New Roman" w:hAnsi="Times New Roman" w:cs="Times New Roman"/>
          <w:sz w:val="28"/>
          <w:szCs w:val="28"/>
        </w:rPr>
        <w:t xml:space="preserve">  </w:t>
      </w:r>
      <w:r w:rsidR="00CF4DE6">
        <w:rPr>
          <w:rFonts w:ascii="Times New Roman" w:hAnsi="Times New Roman" w:cs="Times New Roman"/>
          <w:sz w:val="28"/>
          <w:szCs w:val="28"/>
        </w:rPr>
        <w:t xml:space="preserve"> М</w:t>
      </w:r>
      <w:r w:rsidR="00CC274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 муниципальных </w:t>
      </w:r>
      <w:r w:rsidR="000915B2">
        <w:rPr>
          <w:rFonts w:ascii="Times New Roman" w:hAnsi="Times New Roman" w:cs="Times New Roman"/>
          <w:sz w:val="28"/>
          <w:szCs w:val="28"/>
        </w:rPr>
        <w:t xml:space="preserve"> услуг администрации муниципального образования город </w:t>
      </w:r>
      <w:r w:rsidR="00CF4D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15B2">
        <w:rPr>
          <w:rFonts w:ascii="Times New Roman" w:hAnsi="Times New Roman" w:cs="Times New Roman"/>
          <w:sz w:val="28"/>
          <w:szCs w:val="28"/>
        </w:rPr>
        <w:t>Юрьев-П</w:t>
      </w:r>
      <w:r w:rsidR="00CF4DE6">
        <w:rPr>
          <w:rFonts w:ascii="Times New Roman" w:hAnsi="Times New Roman" w:cs="Times New Roman"/>
          <w:sz w:val="28"/>
          <w:szCs w:val="28"/>
        </w:rPr>
        <w:t>ольский Юрьев-Польского района»</w:t>
      </w:r>
    </w:p>
    <w:p w:rsidR="00F3146B" w:rsidRPr="00F3146B" w:rsidRDefault="00DA528D" w:rsidP="00197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5962650" cy="0"/>
                <wp:effectExtent l="9525" t="13970" r="9525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B782" id="AutoShape 10" o:spid="_x0000_s1026" type="#_x0000_t32" style="position:absolute;margin-left:-.3pt;margin-top:.7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bqYTWZT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"/>
            </w:pict>
          </mc:Fallback>
        </mc:AlternateContent>
      </w:r>
      <w:r w:rsidR="00F3146B" w:rsidRPr="00F3146B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 w:rsidR="00724A48" w:rsidRDefault="00F3146B" w:rsidP="00724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CF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8F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Владимирская область, г. Юрьев-Польский, </w:t>
      </w:r>
    </w:p>
    <w:p w:rsidR="00F3146B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Шибанкова, д. 33, этаж 2, каб. 11</w:t>
      </w:r>
    </w:p>
    <w:p w:rsidR="00F3146B" w:rsidRDefault="00DA528D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5962650" cy="0"/>
                <wp:effectExtent l="9525" t="9525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A8AF" id="AutoShape 11" o:spid="_x0000_s1026" type="#_x0000_t32" style="position:absolute;margin-left:-.3pt;margin-top:1.75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/pIA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"/>
            </w:pict>
          </mc:Fallback>
        </mc:AlternateConten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CB228F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CB2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B228F" w:rsidRPr="00197AA4" w:rsidRDefault="00CB228F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97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Pr="00F3146B" w:rsidRDefault="00DA528D" w:rsidP="00197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28575</wp:posOffset>
                </wp:positionV>
                <wp:extent cx="5962650" cy="0"/>
                <wp:effectExtent l="9525" t="9525" r="952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0004E" id="AutoShape 12" o:spid="_x0000_s1026" type="#_x0000_t32" style="position:absolute;margin-left:-.3pt;margin-top:2.25pt;width:4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6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LCip4NToTJKUj+fUdsCwiq5M75DepIv+lnR7xZJVXVEtjxEv541JCc+I3qT4i9WQ5X9+FkxiCFQ&#10;IAzr1JjBQ8IY0Cns5HzbCT85ROFjvpyn8xxWRy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"/>
            </w:pict>
          </mc:Fallback>
        </mc:AlternateContent>
      </w:r>
      <w:r w:rsidR="00F3146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24A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</w:p>
    <w:p w:rsidR="00724A48" w:rsidRDefault="004801AF" w:rsidP="00197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97AA4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7/2017 г. – 27</w:t>
      </w:r>
      <w:r w:rsidR="00724A48" w:rsidRPr="00724A48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24A48" w:rsidRPr="00724A48">
        <w:rPr>
          <w:rFonts w:ascii="Times New Roman" w:hAnsi="Times New Roman" w:cs="Times New Roman"/>
          <w:sz w:val="28"/>
          <w:szCs w:val="28"/>
        </w:rPr>
        <w:t>/2017 г.</w:t>
      </w:r>
    </w:p>
    <w:p w:rsidR="00724A48" w:rsidRDefault="00DA528D" w:rsidP="00197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5962650" cy="1905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3B0A" id="AutoShape 13" o:spid="_x0000_s1026" type="#_x0000_t32" style="position:absolute;margin-left:-.3pt;margin-top:2.75pt;width:469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91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"/>
            </w:pict>
          </mc:Fallback>
        </mc:AlternateContent>
      </w:r>
    </w:p>
    <w:p w:rsidR="00F3146B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 размещения уведомления о подготовке проекта НПА на официальном сайте проведения о</w:t>
      </w:r>
      <w:r w:rsidR="00724A48">
        <w:rPr>
          <w:rFonts w:ascii="Times New Roman" w:hAnsi="Times New Roman" w:cs="Times New Roman"/>
          <w:sz w:val="28"/>
          <w:szCs w:val="28"/>
        </w:rPr>
        <w:t>ценки регулирующего воздействия:</w:t>
      </w:r>
    </w:p>
    <w:p w:rsidR="00724A48" w:rsidRPr="00197AA4" w:rsidRDefault="00197AA4" w:rsidP="00724A4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Default="00DA528D" w:rsidP="00197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962650" cy="0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239C" id="AutoShape 14" o:spid="_x0000_s1026" type="#_x0000_t32" style="position:absolute;margin-left:-.3pt;margin-top:2.85pt;width:4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X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i9lkNo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"/>
            </w:pict>
          </mc:Fallback>
        </mc:AlternateConten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  <w:r w:rsidR="00F3146B">
        <w:rPr>
          <w:rFonts w:ascii="Times New Roman" w:hAnsi="Times New Roman" w:cs="Times New Roman"/>
          <w:sz w:val="28"/>
          <w:szCs w:val="28"/>
        </w:rPr>
        <w:t>.</w:t>
      </w:r>
    </w:p>
    <w:p w:rsidR="00724A48" w:rsidRPr="00724A48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поступившие  предложения  будут  рассмотрены.  Сводка  предложений  о проведении публичных обсуждений будет размещена на официальном сайте</w:t>
      </w:r>
      <w:r w:rsidR="00724A48">
        <w:rPr>
          <w:rFonts w:ascii="Times New Roman" w:hAnsi="Times New Roman" w:cs="Times New Roman"/>
          <w:sz w:val="28"/>
          <w:szCs w:val="28"/>
        </w:rPr>
        <w:t>:</w:t>
      </w:r>
    </w:p>
    <w:p w:rsidR="00724A48" w:rsidRPr="00DA528D" w:rsidRDefault="00724A48" w:rsidP="00D653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5341" w:rsidRPr="00DA528D" w:rsidRDefault="00DA528D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61595</wp:posOffset>
                </wp:positionV>
                <wp:extent cx="5895975" cy="0"/>
                <wp:effectExtent l="9525" t="9525" r="9525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5201" id="AutoShape 16" o:spid="_x0000_s1026" type="#_x0000_t32" style="position:absolute;margin-left:-.3pt;margin-top:4.85pt;width:46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7uczaJtDWCl3xndIT/JVPyv63SKpypbIhofot7OG5MRnRO9S/MVqqLIfvigGMQQK&#10;hGGdatN7SBgDOoWdnG874SeHKHzMFsts+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"/>
            </w:pict>
          </mc:Fallback>
        </mc:AlternateContent>
      </w:r>
      <w:r w:rsidR="00D653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3146B" w:rsidRDefault="00F3146B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(адрес официального  сайта проведения оценки регулирующего воздействия)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B0" w:rsidRPr="00D65341" w:rsidRDefault="00DA528D" w:rsidP="00D653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895975" cy="0"/>
                <wp:effectExtent l="9525" t="9525" r="9525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98EA" id="AutoShape 19" o:spid="_x0000_s1026" type="#_x0000_t32" style="position:absolute;margin-left:-.3pt;margin-top:14.75pt;width:46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s8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"/>
            </w:pict>
          </mc:Fallback>
        </mc:AlternateContent>
      </w:r>
      <w:r w:rsidR="00F314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550D6">
        <w:rPr>
          <w:rFonts w:ascii="Times New Roman" w:hAnsi="Times New Roman" w:cs="Times New Roman"/>
          <w:sz w:val="28"/>
          <w:szCs w:val="28"/>
        </w:rPr>
        <w:t xml:space="preserve">  </w:t>
      </w:r>
      <w:r w:rsidR="00724A48">
        <w:rPr>
          <w:rFonts w:ascii="Times New Roman" w:hAnsi="Times New Roman" w:cs="Times New Roman"/>
          <w:sz w:val="28"/>
          <w:szCs w:val="28"/>
        </w:rPr>
        <w:t xml:space="preserve"> </w:t>
      </w:r>
      <w:r w:rsidR="00D65341" w:rsidRPr="00DA52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26D7">
        <w:rPr>
          <w:rFonts w:ascii="Times New Roman" w:hAnsi="Times New Roman" w:cs="Times New Roman"/>
          <w:sz w:val="28"/>
          <w:szCs w:val="28"/>
        </w:rPr>
        <w:t>28</w:t>
      </w:r>
      <w:r w:rsidR="006550D6" w:rsidRPr="00D65341">
        <w:rPr>
          <w:rFonts w:ascii="Times New Roman" w:hAnsi="Times New Roman" w:cs="Times New Roman"/>
          <w:sz w:val="28"/>
          <w:szCs w:val="28"/>
        </w:rPr>
        <w:t>.0</w:t>
      </w:r>
      <w:r w:rsidR="005B26D7">
        <w:rPr>
          <w:rFonts w:ascii="Times New Roman" w:hAnsi="Times New Roman" w:cs="Times New Roman"/>
          <w:sz w:val="28"/>
          <w:szCs w:val="28"/>
        </w:rPr>
        <w:t>7</w:t>
      </w:r>
      <w:r w:rsidR="006550D6" w:rsidRPr="00D65341">
        <w:rPr>
          <w:rFonts w:ascii="Times New Roman" w:hAnsi="Times New Roman" w:cs="Times New Roman"/>
          <w:sz w:val="28"/>
          <w:szCs w:val="28"/>
        </w:rPr>
        <w:t>.2017 г.</w:t>
      </w:r>
    </w:p>
    <w:p w:rsidR="00F3146B" w:rsidRDefault="00F3146B" w:rsidP="00D6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 w:rsidR="007073BC" w:rsidRDefault="005B26D7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введением изменений в Земельный кодекс Российской Федерации, необходимо заключить договора на размещение нестационарных торговых объектов с юридическими лицами и индивидуальными предпринимателя</w:t>
      </w:r>
      <w:r w:rsidR="007E6D02">
        <w:rPr>
          <w:rFonts w:ascii="Times New Roman" w:hAnsi="Times New Roman" w:cs="Times New Roman"/>
          <w:sz w:val="28"/>
          <w:szCs w:val="28"/>
        </w:rPr>
        <w:t>ми, имеющими договора аренды на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объектов.</w:t>
      </w:r>
      <w:r w:rsidR="008A4091">
        <w:rPr>
          <w:rFonts w:ascii="Times New Roman" w:hAnsi="Times New Roman" w:cs="Times New Roman"/>
          <w:sz w:val="28"/>
          <w:szCs w:val="28"/>
        </w:rPr>
        <w:t xml:space="preserve"> На данный момент отсутствует порядок заключения указанных договоров.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</w:p>
    <w:p w:rsidR="00950C26" w:rsidRDefault="00AB0377" w:rsidP="00707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0C26">
        <w:rPr>
          <w:rFonts w:ascii="Times New Roman" w:hAnsi="Times New Roman" w:cs="Times New Roman"/>
          <w:sz w:val="28"/>
          <w:szCs w:val="28"/>
        </w:rPr>
        <w:t xml:space="preserve">оздать условия для </w:t>
      </w:r>
      <w:r w:rsidR="007E6D02">
        <w:rPr>
          <w:rFonts w:ascii="Times New Roman" w:hAnsi="Times New Roman" w:cs="Times New Roman"/>
          <w:sz w:val="28"/>
          <w:szCs w:val="28"/>
        </w:rPr>
        <w:t>обеспечения населения услугами торговли, упорядочения размещения и функционирования нестационарной торговой сети на территории города Юрьев-Польский, обеспечение пополнения доходной части бюджета муниципального образования город Юрьев-Польский.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Действующие  нормативные  правовые  акты, поручения, другие решения, из</w:t>
      </w:r>
      <w:r w:rsidR="00FD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FD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в данной области:</w:t>
      </w:r>
    </w:p>
    <w:p w:rsidR="00275FC5" w:rsidRDefault="006E0ECA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</w:t>
      </w:r>
      <w:r w:rsidR="00275FC5">
        <w:rPr>
          <w:rFonts w:ascii="Times New Roman" w:hAnsi="Times New Roman" w:cs="Times New Roman"/>
          <w:sz w:val="28"/>
          <w:szCs w:val="28"/>
        </w:rPr>
        <w:t xml:space="preserve">ий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E46">
        <w:rPr>
          <w:rFonts w:ascii="Times New Roman" w:hAnsi="Times New Roman" w:cs="Times New Roman"/>
          <w:sz w:val="28"/>
          <w:szCs w:val="28"/>
        </w:rPr>
        <w:t xml:space="preserve">нормативного акта 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7E6D02">
        <w:rPr>
          <w:rFonts w:ascii="Times New Roman" w:hAnsi="Times New Roman" w:cs="Times New Roman"/>
          <w:sz w:val="28"/>
          <w:szCs w:val="28"/>
        </w:rPr>
        <w:t>о статьями 39.33 и 39.36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</w:t>
      </w:r>
      <w:r w:rsidR="007E6D02">
        <w:rPr>
          <w:rFonts w:ascii="Times New Roman" w:hAnsi="Times New Roman" w:cs="Times New Roman"/>
          <w:sz w:val="28"/>
          <w:szCs w:val="28"/>
        </w:rPr>
        <w:t>ьности в Российской Федерации».</w:t>
      </w:r>
    </w:p>
    <w:p w:rsidR="00F3146B" w:rsidRDefault="00F3146B" w:rsidP="007E6D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</w:p>
    <w:p w:rsidR="00F3146B" w:rsidRDefault="00F3146B" w:rsidP="007E6D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Данное постановление вступает в силу после его официального опубликования, </w:t>
      </w:r>
      <w:r w:rsidR="007E6D02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FC5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Сведения  о  необходимости  или  отсутствии  необходимости установления переходного периода:</w:t>
      </w:r>
      <w:r w:rsidR="00950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B" w:rsidRDefault="00275FC5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C26">
        <w:rPr>
          <w:rFonts w:ascii="Times New Roman" w:hAnsi="Times New Roman" w:cs="Times New Roman"/>
          <w:sz w:val="28"/>
          <w:szCs w:val="28"/>
        </w:rPr>
        <w:t>становление переходного периода отсутствует.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2610"/>
        <w:gridCol w:w="3690"/>
      </w:tblGrid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ind w:firstLine="709"/>
              <w:jc w:val="center"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7E6D0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 постановления «</w:t>
            </w:r>
            <w:r w:rsidR="007E6D02">
              <w:rPr>
                <w:sz w:val="28"/>
                <w:szCs w:val="28"/>
              </w:rPr>
              <w:t xml:space="preserve">Об утверждении порядка заключения договоров на размещение нестационарных торговых объектов на территории муниципального </w:t>
            </w:r>
            <w:r w:rsidR="007E6D02">
              <w:rPr>
                <w:sz w:val="28"/>
                <w:szCs w:val="28"/>
              </w:rPr>
              <w:lastRenderedPageBreak/>
              <w:t>образования город Юрьев-Польский» без предоставления земельного участка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 нормативного акта распространяется на юридические лица и индивидуальных предпринимателей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города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позволит  достигнуть заявленных целей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не повлияет на существующее состояние конкуренции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A7A6D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6.8.  Обоснование выбора предпочтительного варианта предлагаемого </w:t>
      </w:r>
      <w:r w:rsidR="00FD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регулирования выявленной проблемы: </w:t>
      </w:r>
    </w:p>
    <w:p w:rsidR="003238DE" w:rsidRDefault="00FA7A6D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5A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индивидуальным предпринимателям и юридическим лицам, осуществляющим торговую деятельность через нестационарные торговые объекты, необходимо иметь договора на размещение данных объектов.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1575A2">
        <w:rPr>
          <w:rFonts w:ascii="Times New Roman" w:hAnsi="Times New Roman" w:cs="Times New Roman"/>
          <w:sz w:val="28"/>
          <w:szCs w:val="28"/>
        </w:rPr>
        <w:t>отсутствует порядок заключения договоров на размещение не</w:t>
      </w:r>
      <w:r w:rsidR="00865F62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объектов. Необходимо принять нормативно-правовой документ, определяющий порядок заключения договоров на размещение нестационарных торговых объектов. 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7.  Иная  информация  по  решению  разработчика,  относящаяся к сведениям о подготовке идеи (концепции) предлагаемого правового регулирования: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подготовке проекта НПА прилагаются:</w:t>
      </w: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 вопросов,  обсуждаемых при размещении уведомления о подготовке проекта НПА;</w:t>
      </w:r>
    </w:p>
    <w:p w:rsidR="00F3146B" w:rsidRDefault="00F3146B" w:rsidP="00FD61B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 материалы,  которые,  по  мнению  разработчика,  позволяют оценить</w:t>
      </w:r>
      <w:r w:rsidR="00FD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правового регулирования.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626227" w:rsidRDefault="00626227" w:rsidP="00FD61B0"/>
    <w:sectPr w:rsidR="00626227" w:rsidSect="00FD61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EF" w:rsidRDefault="000A49EF" w:rsidP="00FD61B0">
      <w:pPr>
        <w:spacing w:line="240" w:lineRule="auto"/>
      </w:pPr>
      <w:r>
        <w:separator/>
      </w:r>
    </w:p>
  </w:endnote>
  <w:endnote w:type="continuationSeparator" w:id="0">
    <w:p w:rsidR="000A49EF" w:rsidRDefault="000A49EF" w:rsidP="00F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EF" w:rsidRDefault="000A49EF" w:rsidP="00FD61B0">
      <w:pPr>
        <w:spacing w:line="240" w:lineRule="auto"/>
      </w:pPr>
      <w:r>
        <w:separator/>
      </w:r>
    </w:p>
  </w:footnote>
  <w:footnote w:type="continuationSeparator" w:id="0">
    <w:p w:rsidR="000A49EF" w:rsidRDefault="000A49EF" w:rsidP="00FD6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9375"/>
      <w:docPartObj>
        <w:docPartGallery w:val="Page Numbers (Top of Page)"/>
        <w:docPartUnique/>
      </w:docPartObj>
    </w:sdtPr>
    <w:sdtEndPr/>
    <w:sdtContent>
      <w:p w:rsidR="000C187A" w:rsidRDefault="00DA52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8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187A" w:rsidRDefault="000C187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6B"/>
    <w:rsid w:val="000915B2"/>
    <w:rsid w:val="000A49EF"/>
    <w:rsid w:val="000C187A"/>
    <w:rsid w:val="001575A2"/>
    <w:rsid w:val="00196F85"/>
    <w:rsid w:val="00197AA4"/>
    <w:rsid w:val="00275FC5"/>
    <w:rsid w:val="003238DE"/>
    <w:rsid w:val="00412479"/>
    <w:rsid w:val="004801AF"/>
    <w:rsid w:val="005B26D7"/>
    <w:rsid w:val="00626227"/>
    <w:rsid w:val="006550D6"/>
    <w:rsid w:val="006E0ECA"/>
    <w:rsid w:val="007073BC"/>
    <w:rsid w:val="00724A48"/>
    <w:rsid w:val="007E6D02"/>
    <w:rsid w:val="00865F62"/>
    <w:rsid w:val="00885E46"/>
    <w:rsid w:val="008A4091"/>
    <w:rsid w:val="008A7E40"/>
    <w:rsid w:val="008E77DB"/>
    <w:rsid w:val="00950C26"/>
    <w:rsid w:val="00A177A5"/>
    <w:rsid w:val="00A20CA5"/>
    <w:rsid w:val="00A2701C"/>
    <w:rsid w:val="00AB0377"/>
    <w:rsid w:val="00C41A9F"/>
    <w:rsid w:val="00CB228F"/>
    <w:rsid w:val="00CC2745"/>
    <w:rsid w:val="00CF4DE6"/>
    <w:rsid w:val="00D65341"/>
    <w:rsid w:val="00DA528D"/>
    <w:rsid w:val="00E55453"/>
    <w:rsid w:val="00EE34FD"/>
    <w:rsid w:val="00F3146B"/>
    <w:rsid w:val="00FA7A6D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C17F3-12B8-48DD-8C32-0BA22C8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46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3146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61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Приемная</cp:lastModifiedBy>
  <cp:revision>4</cp:revision>
  <dcterms:created xsi:type="dcterms:W3CDTF">2017-07-14T08:18:00Z</dcterms:created>
  <dcterms:modified xsi:type="dcterms:W3CDTF">2017-07-14T10:23:00Z</dcterms:modified>
</cp:coreProperties>
</file>